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419</w:t>
      </w:r>
    </w:p>
    <w:p>
      <w:r>
        <w:t>Bundesgericht (BGE), 2022-08-25, DE</w:t>
      </w:r>
    </w:p>
    <w:p>
      <w:r>
        <w:rPr>
          <w:b/>
        </w:rPr>
        <w:t xml:space="preserve">Quelle: </w:t>
      </w:r>
      <w:r>
        <w:t>https://mcp.opencaselaw.ch/entscheid/bge_148 IV 419</w:t>
      </w:r>
    </w:p>
    <w:p>
      <w:r>
        <w:t>FR: ATF 148 IV 419</w:t>
      </w:r>
    </w:p>
    <w:p>
      <w:r>
        <w:t>IT: DTF 148 IV 419</w:t>
      </w:r>
    </w:p>
    <w:p>
      <w:pPr>
        <w:pStyle w:val="Heading2"/>
      </w:pPr>
      <w:r>
        <w:t>Regeste</w:t>
      </w:r>
    </w:p>
    <w:p>
      <w:r>
        <w:t>Regeste Art. 5 i.V.m. Art. 15 JStG; Art. 431 Abs. 2 StPO i.V.m. Art. 51 und 110 Abs. 7 StGB; Entschädigung im Jugendstrafrecht nach (vorsorglicher) Unterbringung. Im Jugendstrafrecht führt der Umstand, dass der aufgrund der (vorsorglichen) Unterbringung erstandene Freiheitsentzug länger war als der ausgesprochene Freiheitsentzug, nicht zu einer finanziellen Entschädigung des betroffenen Jugendlichen gestützt auf Art. 431 Abs. 2 StPO i.V.m. Art. 3 JStPO, da der mit der (vorsorglichen) Unterbringung verbundene Freiheitsentzug keine Untersuchungshaft i.S.v. Art. 431 Abs. 2 StPO i.V.m. Art. 51 und Art. 110 Abs. 7 StGB darstellt (E. 1.6). Ein übergangsweiser Aufenthalt eines Jugendlichen, dem gegenüber eine (vorsorgliche) geschlossene Unterbringung verfügt wurde, in einer Straf- oder Haftanstalt kann zulässig sein, soweit dies erforderlich ist, um eine geeignete Einrichtung zu finden. Kriterien für die Beurteilung der Zulässigkeit der Dauer bis zum Eintritt in eine geeignete Einrichtung (E. 1.7.3 mit Hinweis auf BGE 148 I 116 E. 2.4). Zulässigkeit im konkreten Fall bejaht (E. 1.7.4).</w:t>
      </w:r>
    </w:p>
    <w:p>
      <w:pPr>
        <w:pStyle w:val="Heading2"/>
      </w:pPr>
      <w:r>
        <w:t>Erwägungen</w:t>
      </w:r>
    </w:p>
    <w:p>
      <w:r>
        <w:rPr>
          <w:b/>
        </w:rPr>
        <w:t>E. 1</w:t>
      </w:r>
    </w:p>
    <w:p>
      <w:r>
        <w:t>(...)</w:t>
      </w:r>
    </w:p>
    <w:p>
      <w:r>
        <w:rPr>
          <w:b/>
        </w:rPr>
        <w:t>E. 1.6.1</w:t>
      </w:r>
    </w:p>
    <w:p>
      <w:r>
        <w:t>Das Jugendstrafrecht folgt wie das Strafgesetzbuch dem dualistisch-vikariierenden System, wonach neben einer Massnahme grundsätzlich auch eine Strafe auszufällen ist. Die Schutzmassnahme und die Strafe erfüllen ergänzende Funktionen. So ist die Strafe die Reaktion der Gesellschaft auf das mit der Tat verbundene Verschulden des Jugendlichen, während die Massnahme seiner persönlichen Situation Rechnung trägt (Botschaft vom 21. September 1998 zur Änderung des Schweizerischen Strafgesetzbuches [...], BBl 1999 II 2251 Ziff. 423.314.1). Im Jugendstrafrecht stehen die erzieherischen Massnahmen im Vordergrund. Die Sanktionen des Jugendstrafrechts dienen nicht der Tatvergeltung, sondern verfolgen das Ziel, den zu beurteilenden Jugendlichen im Sinne der Spezialprävention von der Begehung weiterer Straftaten abzuhalten. So stehen Erziehung und Schutz des Jugendlichen als Leitprinzipien im Vordergrund ( Art. 2 Abs. 1 JStG [SR 311.1]), wobei die Lebens- und BGE 148 IV 419 S. 422 Familienverhältnisse sowie die Entwicklung ihrer Persönlichkeit besonders zu beachten sind ( Art. 2 Abs. 2 JStG ). Das Jugendstrafrecht strebt die täterorientierte Sanktionierung minderjähriger Straftäter an. Jugendstrafrechtliche Sanktionen sollen in erster Linie eine erzieherische Wirkung erzeugen, indem sie als Erziehungsmittel weitere Straftaten verhindern und die soziale Integration der straffälligen Jugendlichen fördern sollen. Das Alter und der individuelle Entwicklungstand der Jugendlichen ist stets zugunsten der Jugendlichen zu berücksichtigen ( Art. 1 Abs. 3 JStG ). Der Schutz der Jugendlichen ist unter einem fürsorgerischen Gesichtspunkt zu verstehen. Da die Straffälligkeit Jugendlicher oftmals auf ein schlechtes soziales Umfeld oder ein erzieherisches Fehlverhalten der Eltern zurückzuführen ist, sollen Jugendliche mit gezielten Schutzmassnahmen vor solchen Einflussfaktoren geschützt werden. Sie sollen befähigt werden, künftig straffrei zu leben (vgl. BGE 141 IV 172 E. 3.1; BGE 137 IV 7 E. 1.3; DEBORAH TORRIANI, in: Das schweizerische Vollzugslexikon, Benjamin F. Brägger [Hrsg.], 2. Aufl. 2022, S. 416; siehe auch: BBl 1999 II 2216 Ziff. 411; CHRISTOF RIEDO, Jugendstrafrecht und Jugendstrafprozessrecht, 2013, S. 66 f. und 92 f.; NICOLE HOLDEREGGER, Die Schutzmassnahmen des Jugendstrafgesetzes unter besonderer Berücksichtigung der Praxis in den Kantonen Schaffhausen und Zürich, 2009, S. 27 und 59 ff.). Die Wahl der Sanktion erfolgt entsprechend nicht nach denselben Kriterien wie beim Erwachsenenstrafrecht (vgl. ausführlich hierzu: BGE 137 IV 7 E. 1.3 mit Hinweis).</w:t>
      </w:r>
    </w:p>
    <w:p>
      <w:r>
        <w:rPr>
          <w:b/>
        </w:rPr>
        <w:t>E. 1.6.2</w:t>
      </w:r>
    </w:p>
    <w:p>
      <w:r>
        <w:t>Neben Strafen ( Art. 22-25 JStG )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(vgl. BGE 141 IV 172 E. 3.1 mit Hinweisen; Urteil 6B_326/2020 / 6B_327/2020 vom 17. April 2020 E. 3.3.1). 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BGE 148 IV 419 S. 423 erreicht und eine andere Schutzmassnahme als erforderlich oder jedenfalls als zweckmässiger erscheint. Art. 18 Abs. 1 Satz 1 JStG erlaubt daher eine Massnahme nachträglich zu ändern, d.h. durch eine andere zu ersetzen, wenn sich die Verhältnisse geändert haben, wobei die Änderung in der Anordnung einer im Verhältnis zur bisherigen mehr oder weniger eingreifenden Massnahme bestehen kann. Die in Art. 18 JStG geregelte Massnahmenabänderbarkeit bildet Wesensmerkmal des jugendstrafrechtlichen Massnahmenrechts. Es gilt dabei der Grundsatz der jederzeitigen Abänderbarkeit der Massnahme bis zur Vollendung des 25. Altersjahrs eines Jugendlichen (siehe Art. 19 Abs. 2 JStG ; vgl. BGE 141 IV 172 E. 3.1 mit Hinweisen; Urteil 6B_326/2020 / 6B_327/2020 vom 17. April 2020 E. 3.3.1). Schutzmassnahmen werden wie die Massnahmen im Erwachsenenstrafrecht im Gegensatz zu Strafen auf unbestimmte Zeit angeordnet (vgl. HUG/SCHLÄFLI/VALÄR, in: Basler Kommentar, Strafrecht, Bd. II, 4. Aufl. 2019, N. 3 zu Art. 18 JStG ; RIEDO, a.a.O., S. 122). Die Vollzugsbehörde prüft jährlich, ob und wann die Massnahme aufgehoben werden kann. Sie hebt sie auf, wenn ihr Zweck erreicht ist oder feststeht, dass sie keine erzieherischen oder therapeutischen Wirkungen mehr entfaltet ( Art. 19 Abs. 1 JStG ). Die Möglichkeit, eine Schutzmassnahme aufzuheben, darf nicht dazu führen, dass diese vorschnell aufgegeben wird. Jeder Massnahmenvollzug ist mit Hindernissen, Widerständen und Schwierigkeiten verbunden (RIEDO, a.a.O., S. 124). Eine Qualität des Jugendstrafrechts muss es bleiben, dass die Vollzugsbehörden mit Beharrlichkeit und Geduld mit Jugendlichen arbeiten, dass sie die ins Auge gefassten oder getroffenen Lösungen selbst in Frage stellen, dass sie - was das JStG ermöglicht - kreative und unkonventionelle Wege beschreiten. Ziel muss dabei sein, den vorgezeichneten Weg eines Jugendlichen in eine kriminelle Karriere zu unterbrechen (HUG/SCHLÄFLI/VALÄR, a.a.O., N. 4 zu Art. 19 JStG ). Alle Massnahmen enden spätestens mit Vollendung des 25. Altersjahres ( Art. 19 Abs. 2 JStG ). Sämtliche Schutzmassnahmen im Sinne von Art. 12 ff. JStG müssen den Verfassungsgrundsatz der Verhältnismässigkeit gemäss Art. 36 Abs. 3 BV wahren, das heisst, die Massnahme muss zur Zielerreichung geeignet sowie erforderlich sein und es muss eine vernünftige Relation bestehen zwischen dem Eingriff und dem angestrebten Ziel ( Art. 1 Abs. 2 lit. c JStG i.V.m. Art. 56 Abs. 2 StGB ; Urteile 1B_292/2022 vom 28. Juli 2022 E. 2.2; 1B_32/2011 vom 15. Februar 2011 E. 2.6; RIEDO, a.a.O., S. 98; HUG/SCHLÄFLI/VALÄR, a.a.O., N. 5 f. zu Art. 10 BGE 148 IV 419 S. 424 JStG und N. 3b sowie 12d zu Art. 15 JStG ; siehe auch: BGE 141 IV 172 E. 3.3).</w:t>
      </w:r>
    </w:p>
    <w:p>
      <w:r>
        <w:rPr>
          <w:b/>
        </w:rPr>
        <w:t>E. 1.6.3</w:t>
      </w:r>
    </w:p>
    <w:p>
      <w:r>
        <w:t>Die vorsorglichen Schutzmassnahmen nach Art. 5 i.V.m. Art. 12 ff. JStG dienen dazu, die notwendige erzieherische Betreuung oder therapeutische Behandlung der Jugendlichen bereits im Untersuchungsverfahren sicherzustellen (HUG/SCHLÄFLI/VALÄR, a.a.O., N. 1 zu Art. 5 JStG ; HUG/SCHLÄFLI, in: Basler Kommentar, Schweizerische Strafprozessordnung, 2. Aufl. 2014, N. 2 zu Art. 26 JStPO ; HOLDEREGGER, a.a.O., S. 392; siehe auch Urteil 6B_326/2020 / 6B_327/ 2020 vom 17. April 2020 E. 4.2). Bei vorsorglichen Schutzmassnahmen handelt es sich mit anderen Worten um provisorische Sofortmassnahmen zur umgehenden Gewährleistung des Schutzes und der Erziehung des Jugendlichen. Es geht um eine Krisenintervention. Voraussetzung dafür sind namentlich ein dringliches Schutzbedürfnis auf Seiten des Jugendlichen im Sinne einer psychischen, physischen oder erzieherischen Gefährdungslage sowie die Notwendigkeit einer unverzüglichen Intervention zur Gefahrenabwehr und -verhinderung. Überdies muss jede vorsorgliche Schutzmassnahme verhältnismässig sein ( BGE 141 IV 172 E. 3.3; HOLDEREGGER, a.a.O., S. 392 ff.).</w:t>
      </w:r>
    </w:p>
    <w:p>
      <w:r>
        <w:rPr>
          <w:b/>
        </w:rPr>
        <w:t>E. 1.6.4</w:t>
      </w:r>
    </w:p>
    <w:p>
      <w:r>
        <w:t>Demgegenüber dient die Untersuchungshaft gemäss Art. 27 JStPO (SR 312.1) ausschliesslich der Aufklärung der Straftat und darf daher nicht länger dauern als durch die Haftgründe (Flucht-, Kollusions-, Wiederholungs- und Ausführungsgefahr) und die Schwere der Straftat bedingt. Auch muss sie hinsichtlich der in Aussicht stehenden Sanktion verhältnismässig sein (HUG/SCHLÄFLI, a.a.O., N. 6 zu Art. 27 JStPO ). Im Sinne einer ultima ratio darf die Untersuchungshaft nur angeordnet werden, wenn ihr Zweck nicht durch andere Massnahmen erreicht werden kann (vgl. Art. 27 Abs. 1 JStPO ; BGE 142 IV 389 E. 4; BGE 137 IV 7 E. 1.6.1; JOSITSCH/RIESEN-KUPPER, Schweizerische Jugendstrafprozessordnung [JStPO], Kommentar, 2. Aufl. 2018, N. 1 zu Art. 27 JStPO ). Als Untersuchungshaft i.S.v. Art. 110 Abs. 7 StGB wird jede Freiheitsentziehung bezeichnet, die im Verlaufe einer Strafuntersuchung zum Zwecke der Untersuchung oder aus Gründen der Sicherheit angeordnet wird ( BGE 124 IV 269 E. 4; METTLER/SPICHTIN, in: Basler Kommentar, Strafrecht, Bd. I, 4. Aufl. 2019, N. 2 zu Art. 110 Abs. 7 StGB ).</w:t>
      </w:r>
    </w:p>
    <w:p>
      <w:r>
        <w:rPr>
          <w:b/>
        </w:rPr>
        <w:t>E. 1.6.5</w:t>
      </w:r>
    </w:p>
    <w:p>
      <w:r>
        <w:t>Zusammenfassend ist festzuhalten, dass Schutzmassnahmen gemäss Jugendstrafgesetz schuldunabhängige strafrechtliche Sanktionen sind, mit denen kein Schuldausgleich, sondern BGE 148 IV 419 S. 425 ausschliesslich erzieherische und/oder therapeutische Zwecke verfolgt werden (vgl. RIEDO, a.a.O., S. 94). Schutzmassnahmen sind im Unterschied zu Strafen zeitlich relativ unbestimmt. Ihr Ende bestimmt sich nicht durch simplen Zeitablauf. Auch sind sie im Unterschied zu Untersuchungs- und Sicherheitshaft nicht auf die Dauer des angeordneten Freiheitsentzugs beschränkt. Sie dauern vielmehr grundsätzlich so lange an, bis ihr Zweck erreicht ist, sich eine Zweckerreichung als aussichtslos erweist oder der Jugendliche das 25. Altersjahr erreicht hat (vgl. Art. 19 Abs. 1 und 2 JStG ; vgl. E. 1.6.1 f.). Vorsorgliche Schutzmassnahmen gewährleisten den Schutz und die Erziehung des Jugendlichen während der Untersuchung und dienen insofern der Krisenintervention (vgl. E. 1.6.3). Zwar handelt es sich dabei nicht um eine (materiellrechtliche) Sanktion, sondern um eine (prozessuale) Zwangsmassnahme (RIEDO, a.a.O., S. 131 und 273; siehe auch Urteil 1B_437/2011 vom 14. September 2011 E. 4.3). Jedoch unterscheidet sich die vorsorgliche geschlossene Unterbringung i.S.v. Art. 5 i.V.m. Art. 15 JStG nach dem Ausgeführten angesichts ihrer Zielsetzung klar von der Untersuchungshaft i.S.v. Art. 110 Abs. 7 und Art. 51 StGB sowie Art. 431 Abs. 2 StPO (vgl. auch JOSITSCH/RIESEN-KUPPER, a.a.O., N. 5 zu Art. 27 JStPO ). Dass eine (vorsorgliche) Unterbringung die Dauer eines allenfalls gleichzeitig ausgesprochenen Freiheitsentzugs übersteigt, wird - sofern sie verhältnismässig ist - durch ihren erzieherischen und/oder therapeutischen Zweck gerechtfertigt. Um eine "doppelte Bestrafung" des Jugendlichen zu vermeiden, ist die mit der (vorsorglichen) Unterbringung verbundene Freiheitsbeschränkung zwar auf den ausgesprochenen Freiheitsentzug anzurechnen, wenn die Unterbringung aus einem anderen Grund als jenem der Zweckerreichung aufgehoben wird (vgl. Art. 32 Abs. 3 JStG ; BGE 142 IV 359 E. 2; BGE 137 IV 7 E. 1.6.2). Dies hat jedoch nach dem Ausgeführten nicht zur Folge, dass der Jugendliche zu entschädigen ist, wenn der mit der (vorsorglichen) Unterbringung verbundene Freiheitsentzug länger war als der ausgesprochene Freiheitsentzug, da damit ein eigener Zweck (erzieherische und/oder therapeutische Betreuung) verfolgt wurde. Dass die Schutzmassnahme letztlich gescheitert ist, ändert daran nichts.</w:t>
      </w:r>
    </w:p>
    <w:p>
      <w:r>
        <w:rPr>
          <w:b/>
        </w:rPr>
        <w:t>E. 1.6.6</w:t>
      </w:r>
    </w:p>
    <w:p>
      <w:r>
        <w:t>Offengelassen werden kann, wie eine vergleichbare Ausgangslage (der mit dem [vorzeitigen] Massnahmenvollzug verbundene Freiheitsentzug übersteigt die ausgesprochene Freiheitsstrafe) im Erwachsenenstrafrecht zu beurteilen wäre. Die Ausführungen des Beschwerdeführers, mit denen er eine Verletzung des Gleichbehandlungsgebots gemäss Art. 8 BV aufzeigen will, genügen den qualifizierten BGE 148 IV 419 S. 426 Begründungsanforderungen an eine Verfassungsrüge (vgl. Art. 106 Abs. 2 BGG ) nicht. Er begründet seine Ansicht, wie sich die Rechtslage im Erwachsenenstrafrecht bei einer vergleichbaren Situation gestaltet, und damit letztlich auch die von ihm gerügte Ungleichbehandlung einzig mit dem Hinweis auf eine in der Literatur vertretene Meinung. Auf die Rüge ist daher nicht einzutreten.</w:t>
      </w:r>
    </w:p>
    <w:p>
      <w:r>
        <w:rPr>
          <w:b/>
        </w:rPr>
        <w:t>E. 1.7.1</w:t>
      </w:r>
    </w:p>
    <w:p>
      <w:r>
        <w:t>Es bleibt die Frage zu beurteilen, ob der teilweise Vollzug in einem Gefängnis, mithin die Vollzugsmodalitäten der vorsorglichen geschlossenen Unterbringung i.S.v. Art. 5 i.V.m. Art. 15 JStG rechtskonform bzw. verhältnismässig waren. Der Beschwerdeführer argumentiert, er sei wiederholt für einen längeren Zeitraum in Anwendung von Art. 90 des Einführungsgesetzes des Kantons Bern vom 11. Juni 2009 zur Zivilprozessordnung, zur Strafprozessordnung und zur Jugendstrafprozessordnung (EG ZSJ; BSG 271.1) in Sicherungshaft versetzt worden, deren Vollzug jenem einer Untersuchungshaft entsprochen habe. Auch sei bereits bei der Anordnung der Schutzmassnahme klar gewesen, dass auch die Voraussetzungen einer Untersuchungshaft gegeben wären, die Schutzmassnahme jedoch vorgehe.</w:t>
      </w:r>
    </w:p>
    <w:p>
      <w:r>
        <w:rPr>
          <w:b/>
        </w:rPr>
        <w:t>E. 1.7.2</w:t>
      </w:r>
    </w:p>
    <w:p>
      <w:r>
        <w:t>Die Vorinstanz erwägt, mit der vorsorglichen geschlossenen Unterbringung sei die Beruhigung und Stabilisierung der Lebenssituation, die Auseinandersetzung mit dem delinquenten Verhalten, die Gewährleistung einer betreuten Wohnsituation, eine geregelte Tagesstruktur sowie allenfalls das Erstellen eines forensisch-psychiatrischen Zusatzgutachtens zur Einschätzung der Rückfallgefahr, der Persönlichkeit des Beschwerdeführers und einer allfälligen psychopathologischen Fehlentwicklung inklusive Massnahmenempfehlung bezweckt worden. Die Vorgeschichte des Beschwerdeführers zeige, dass er auf enge und klare Strukturen angewiesen gewesen sei und die dringend therapeutische Auseinandersetzung sowie das Erlernen neuer Verhaltensmuster zum damaligen Zeitpunkt nur im geschlossenen Rahmen habe sichergestellt werden können. Es würden sich keine Hinweise ergeben, dass andere als pädagogische Ziele im Vordergrund gestanden hätten; der Fokus habe auf der persönlichen Situation des Beschwerdeführers und deren Verbesserung gelegen. In Übereinstimmung mit den Ausführungen der Leitung der Jugendanwaltschaft könne von einem typischen Fall gesprochen werden, in dem eine vorsorgliche Unterbringung aus spezialpräventiven Überlegungen als sinnvoll erachtet worden sei. Dass damit unter BGE 148 IV 419 S. 427 anderem auch das Ziel der Verhinderung weiterer Delinquenz verfolgt worden sei, sei legitim und noch kein Hinweis darauf, dass es sich in Wahrheit um Untersuchungshaft gehandelt habe. Die Vorinstanz führt weiter aus, die Haftgründe der Flucht- sowie Wiederholungsgefahr seien im Anordnungsentscheid der vorsorglichen geschlossenen Unterbringung ausdrücklich nur für den Fall einer allfälligen Anordnung der Untersuchungshaft erwähnt worden, weshalb dies ebenfalls kein Hinweis sei, dass im Ergebnis Untersuchungshaft vorgelegen habe. Der Umstand, dass auch die Anordnung von Untersuchungshaft möglich gewesen wäre, bedeute daher nicht, dass die Schutzmassnahme lediglich ein Deckmantel für die Untersuchungshaft gewesen sei, zumal diese im Sinne einer ultima ratio nur angeordnet werde, wenn ihr Zweck nicht durch andere Massnahmen erreicht werden könne. Vorliegend hätten die Hoffnung und das Bestreben bestanden, dass die geschlossene Unterbringung eine Verhaltensänderung beim Beschwerdeführer bewirken könne, weshalb von einer "verkappten" Untersuchungshaft nicht die Rede sein könne. Auch die mehrmalige Sicherungshaft sei aufgrund des Verhaltens des Beschwerdeführers notwendig gewesen. Indem dieser sich der Massnahme immer wieder widersetzt oder sich ihr entzogen habe, habe die Jugendanwaltschaft mehrmals neue Einrichtungen finden müssen. Die Sicherungshaft i.S.v. Art. 90 EG ZSJ sei geschaffen worden, um eine Unterbringungslücke zu überbrücken, wenn infolge eines Vollzugsnotstands keine geeignete Einrichtung gefunden werden könne, was beim Beschwerdeführer der Fall gewesen sei. Der Umstand, dass er dies durch sein Verhalten provoziert habe, ändere nichts daran. Angesichts des bisherigen Verhaltens des Beschwerdeführers sei es nicht immer möglich gewesen, innerhalb weniger Wochen eine Anschlusslösung zu finden. Insgesamt seien die Verlegungen aber immer noch zeitnah erfolgt und es bestünden keine Hinweise, dass es einzig um die Sicherstellung des Beschwerdeführers im Hinblick auf die Verhinderung weiterer Delikte oder eine Flucht gegangen sei. Deshalb seien insgesamt keine Umstände ersichtlich, welche es rechtfertigen würden, die Sicherungshaft als Untersuchungshaft zu behandeln.</w:t>
      </w:r>
    </w:p>
    <w:p>
      <w:r>
        <w:rPr>
          <w:b/>
        </w:rPr>
        <w:t>E. 1.7.3</w:t>
      </w:r>
    </w:p>
    <w:p>
      <w:r>
        <w:t>Im Zusammenhang mit Massnahmen von Erwachsenen hat das Bundesgericht - unter anderem gestützt auf Entscheide, die zum Jugendstrafrecht ergangen sind - zur Zulässigkeit der Unterbringung eines Massnahmeunterworfenen in einer Straf- oder Haftanstalt festgehalten, diese sei als kurzfristige Überbrückung einer BGE 148 IV 419 S. 428 Notsituation mit materiellem Bundesrecht vereinbar. Mit Blick auf die Rechtsprechung des Europäischen Gerichtshofs für Menschenrechte (EGMR) führte das Bundesgericht aus, ein übergangsweiser Aufenthalt in einer Straf- oder Haftanstalt sei zulässig, solange dies erforderlich sei, um eine geeignete Einrichtung zu finden. Bei der Beurteilung werde insbesondere die Intensität der behördlichen Bemühungen für eine geeignete Platzierung berücksichtigt. Verstreiche indes infolge bekannter Kapazitätsschwierigkeiten längere Zeit, verstosse die Unterbringung in einer Strafanstalt unter Umständen gegen Art. 5 EMRK . Letztlich führe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unterlaufen und die in Art. 57 Abs. 2 StGB vorgesehene Vollstreckungsreihenfolge - Massnahme vor Strafe - umgedreht werde. Hinzu komme, dass das Behandlungsbedürfnis des Betroffenen nur so lange als Rechtfertigung für eine stationäre therapeutische Massnahme bzw. den damit verbundenen Freiheitsentzug herbeigezogen werden könne, als effektiv eine Behandlung stattfinde. Andernfalls könne der wahre Zweck der Massnahme allein in der Sicherung der betroffenen Person liegen. Ein solchermassen begründeter Freiheitsentzug wäre jedoch nur unter den strengen Voraussetzungen zulässig, die für die Verwahrung gelten ( BGE 148 I 116 E. 2.3; BGE 142 IV 105 E. 5.8.1 mit Hinweisen; Urteile 6B_326/2020 / 6B_327/2020 vom 17. April 2020 E. 4.3.3; 6B_840/2019 vom 15. Oktober 2019 E. 2.5.3). Der EGMR habe im Urteil Kadusic gegen Schweiz festgehalten, die Massnahme sei gemäss Art. 62c StGB aufzuheben, wenn keine geeignete Einrichtung (mehr) existiere. Er habe darauf hingewiesen, dass die Weigerung, sich der Massnahme zu unterziehen, nicht rechtfertige, den Massnahmeunterworfenen während Jahren in einer nicht geeigneten Einrichtung zu belassen (Urteile 6B_326/2020 / 6B_327/2020 vom 17. April 2020 E. 4.3.3; 6B_840/ 2019 vom 15. Oktober 2019 E. 2.5.3 mit Hinweis auf das Urteil des EGMR Kadusic gegen Schweiz vom 9. Januar 2018 § 57). Ein übergangsweiser Aufenthalt in einer Straf- oder Haftanstalt kann somit zulässig sein, soweit dies erforderlich ist, um eine geeignete Einrichtung zu finden (entsprechend wird zum Teil von "Organisationshaft" gesprochen; BGE 148 I 116 E. 2.4; BGE 142 IV 105 E. 5.8.1 mit Hinweis). Dies gilt auch für Jugendliche, denen gegenüber eine BGE 148 IV 419 S. 429 (vorsorgliche) geschlossene Unterbringung i.S.v. (Art. 5 i.V.m.) Art. 15 JStG verfügt wurde (vgl. Urteil 6B_326/2020 / 6B_327/2020 vom 17. April 2020 E. 4.3.2 ff.; siehe auch Urteil 1B_437/2011 vom 14. September 2011 E. 5.4 betreffend kurzfristige vorläufige Unterbringung in einer geschlossenen Einrichtung in "Krisensituationen"; HUG/SCHLÄFLI/VALÄR, a.a.O., N. 8a ff. zu Art. 15 JStG ). Bei der Beurteilung der Frage, ob die dafür aufgewendete Zeit verhältnismässig ist, ist vorab die Intensität der behördlichen Bemühungen von Bedeutung ( BGE 142 IV 105 E. 5.8.1 mit Hinweis; siehe auch Urteil 6B_1293/ 2016 vom 23. Oktober 2017 E. 2.1, wonach die Vollzugsbehörde ihre Suche auf die ganze Schweiz erstrecken muss). Weiter ist zu berücksichtigen, ob die Platzierung auf in der Person des Betroffenen begründete Schwierigkeiten stösst, beispielsweise wegen sprachlichen Problemen, Therapieverweigerung oder aggressivem Verhalten, und ob die temporäre Unterbringung zumindest teilweise bzw. in einer Anfangsphase als therapeutisch adäquat angesehen werden kann (vgl. etwa Urteile 6B_294/2020 vom 24. September 2020 E. 5; 6B_840/2019 vom 15. Oktober 2019 E. 2.5.5; zum Ganzen: BGE 148 I 116 E. 2.4 f. mit einer Darstellung von Beispielfällen).</w:t>
      </w:r>
    </w:p>
    <w:p>
      <w:r>
        <w:rPr>
          <w:b/>
        </w:rPr>
        <w:t>E. 1.7.4</w:t>
      </w:r>
    </w:p>
    <w:p>
      <w:r>
        <w:t>Im Rahmen der von der Jugendanwaltschaft vorsorglich angeordneten Unterbringung in einer geschlossenen Erziehungseinrichtung i.S.v. Art. 5 i.V.m. Art. 15 JStG befand sich der Beschwerdeführer im Zeitraum vom 17. Oktober 2018 bis am 14. November 2018 im Regionalgefängnis U. (Sicherungshaft), vom 14. November 2018 bis am 26. November 2018 im Untersuchungsgefängnis V. (Sicherungshaft), vom 26. November 2018 bis am 25. März 2019 im Aufnahmeheim W. (geschlossene Unterbringung), vom 25. März 2019 bis am 23. Juli 2019 im Untersuchungsgefängnis V. (Sicherungshaft), vom 23. Juli 2019 bis am 1. November 2019 im Massnahmenzentrum X. (geschlossene Unterbringung), vom 1. November 2019 bis am 18. Dezember 2019 in der Bewachungsstation und im Regionalgefängnis U. (Sicherungshaft), vom 18. Dezember 2019 bis am 2. März 2020 in der Durchgangsstation Y. (geschlossene Unterbringung) und vom 2. März 2020 bis 24. April 2020 im Regionalgefängnis Z. (Sicherungshaft). Ab dem Urteil des Jugendgerichts vom 24. April 2020, mit dem die offene Unterbringung und die ambulante Behandlung angeordnet wurden, befand er sich bis am 15. Juni 2020 in Sicherungshaft. Vom 15. Juni 2020 bis am 16. Juli 2020 wurde er offen untergebracht. Danach folgte bis zur BGE 148 IV 419 S. 430 Aufhebung der Schutzmassnahme am 5. August 2020 wiederum Sicherungshaft im Regionalgefängnis U. Unbestritten scheint, dass ein Gefängnis keine geeignete Einrichtung im Sinne von Art. 56 Abs. 5 StGB i.V.m. Art. 1 Abs. 2 lit. c JStG darstellt. Wie die Vorinstanz zutreffend festhält, wurde die vorsorgliche geschlossene Unterbringung des Beschwerdeführers unter anderem damit begründet, dass er eine Gefahr für sich und andere darstelle. Ferner wurde sie angeordnet, um weitere Delinquenz und weiteren Suchtmittelkonsum des Beschwerdeführers zu verhindern, seine Lebenssituation zu beruhigen und zu stabilisieren, eine chronische Suchtmittelabhängigkeit zu vermeiden, eine Auseinandersetzung des Beschwerdeführers mit seinem delinquenten Verhalten zu erreichen, eine betreute Wohnsituation sowie eine geregelte Tagesstruktur zu gewährleisten und allenfalls das Erstellen eines forensisch-psychiatrischen Zusatzgutachtens zu ermöglichen. Der Hinweis der Jugendanwaltschaft, wonach auch die Voraussetzungen der Untersuchungshaft erfüllt wären, lässt entgegen dem (impliziten) Einwand des Beschwerdeführers nicht darauf schliessen, bei der Schutzmassnahme habe es sich faktisch um Untersuchungshaft gehandelt, zumal die Jugendanwaltschaft damit insbesondere die Verhältnismässigkeit der Schutzmassnahme begründete. Mit der Vorinstanz ergeben sich auch aus den verschiedenen Versetzungsverfügungen der Jugendanwaltschaft keine Hinweise darauf, dass andere als erzieherische und therapeutische Gründe im Vordergrund gestanden hätten. Aus den entsprechenden Verfügungen ergibt sich zusammengefasst folgender Vollzugsablauf: Nach der Anordnung der vorsorglichen Schutzmassnahme am 17. Oktober 2018 verblieb der Beschwerdeführer zunächst im Gefängnis, bis eine geeignete Institution gefunden werden konnte. Diese vorübergehende Sicherungshaft von gut einem Monat ist nicht zu beanstanden. Am 26. November 2018 trat der Beschwerdeführer in das Aufnahmeheim W. ein. Der entsprechenden Überweisungsverfügung vom 20. November 2018 ist zu entnehmen, dass der Beschwerdeführer ein eng strukturiertes Wohn-, Betreuungs- und Behandlungssetting benötige und die dringend indizierte therapeutische Auseinandersetzung sowie das Erlernen neuer Verhaltensmuster aktuell nur im geschlossenen Rahmen sichergestellt werden könne, da der Beschwerdeführer bezüglich der Massnahme keine Einsicht zeige und sich dieser im offenen Rahmen entziehen würde. Mit Verfügung vom 26. März 2019 musste der Beschwerdeführer in Sicherungshaft BGE 148 IV 419 S. 431 versetzt werden, weil er nach rund eineinhalb Wochen in der offenen Abteilung aufgrund von Alkoholkonsum, Fluchtversuchen, Randalieren, Beschimpfungen und Bedrohung des Personals nicht mehr tragbar war. Am 23. Juli 2019 konnte der Beschwerdeführer in das Massnahmenzentrum X. eintreten, wobei mindestens ein Massnahmenzentrum die Aufnahme des Beschwerdeführers zuvor abgelehnt hatte. Die Sicherungshaft von knapp vier Monaten erscheint zwar lange, erweist sich jedoch angesichts der Umstände (das unkooperative und verweigernde Verhalten des Beschwerdeführers war der Grund für die Verlegung, die Jugendanwaltschaft hat sich um eine Anschlusslösung bemüht) noch als verhältnismässig. In der Überweisungsverfügung vom 15. Juli 2019 begründete die Jugendanwaltschaft mit Hinweis auf das zwischenzeitlich erstellte forensisch-psychiatrische Gutachten vom 26. April 2019 und die im Rahmen der zivilrechtlichen Massnahmen gemachten Erfahrungen, weshalb eine geschlossene Unterbringung erforderlich erscheint. Wiederum geht aus der Verfügung hervor, dass die erzieherische und therapeutische Betreuung des Beschwerdeführers im Vordergrund steht. Nachdem der Beschwerdeführer wiederholt aus dem Massnahmenzentrum geflohen und in der Arrestzelle seinen Pullover und die Decke angezündet sowie gegenüber dem Personal geäussert habe, er wolle sterben, wurde er nach einem vorübergehenden Aufenthalt in einem Psychiatriezentrum und der Bewachungsstation eines Spitals am 1. November 2019 erneut in Sicherungshaft versetzt. Per 18. Dezember 2019 trat der Beschwerdeführer in die Durchgangsstation Y. ein, wobei auch dieser Versuch, die erforderliche Schutzmassnahme zu vollziehen, aufgrund der Flucht des Beschwerdeführers scheiterte, weshalb er am 2. März 2020 wiederum in Sicherungshaft versetzt wurde, wo er bis zum Urteil vom 24. April 2020 verblieb. Aus den vorstehenden Ausführungen ergibt sich, dass die Jugendanwaltschaft wiederholt bemüht war, die angeordnete vorsorgliche geschlossene Unterbringung in einer geeigneten Einrichtung zu vollziehen. Die jeweiligen Verlegungen des Beschwerdeführers in die Gefängnisse sind nicht auf vom Staat verschuldete Kapazitätsengpässe, sondern auf das unkooperative Verhalten des Beschwerdeführers zurückzuführen. Die einzelnen Zeiträume, die der Beschwerdeführer in Sicherungshaft in verschiedenen Gefängnissen verbracht hat, erscheinen isoliert wie auch gesamthaft betrachtet nicht unverhältnismässig lang. Sicherlich lässt sich die Frage stellen, ob die Jugendanwaltschaft die Schutzmassnahme nach dem zweiten Behandlungsversuch hätte aufheben müssen. Angesichts des Grundsatzes, BGE 148 IV 419 S. 432 wonach Schutzmassnahmen im Jugendstrafrecht nicht vorschnell aufgehoben werden sollten und mit Beharrlichkeit sowie Geduld mit Jugendlichen gearbeitet werden sollte (vgl. E. 1.6.2), erweist sich der dreimalige Versuch der Unterbringung in einer geeigneten Einrichtung nicht als unverhältnismässig. Insgesamt verbrachte der Beschwerdeführer zwar eine relativ lange Zeit ohne erzieherische und/ oder therapeutische Betreuung in Sicherungshaft in verschiedenen Gefängnissen. Jedoch war diese Unterbringung stets nur vorübergehend und durch das unkooperative Verhalten des Beschwerdeführers begründet. Das Vorbringen des Beschwerdeführers, wonach die vorsorgliche Schutzmassnahme bzw. deren Vollzugsmodalitäten faktisch einer Untersuchungshaft gleichgekommen und damit zu entschädigen sei,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